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《思明区进一步加快旅游和文化娱乐业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发展扶持奖励若干意见》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政策解读</w:t>
      </w:r>
    </w:p>
    <w:p>
      <w:pPr>
        <w:spacing w:line="620" w:lineRule="exact"/>
        <w:rPr>
          <w:rFonts w:hint="eastAsia" w:ascii="黑体" w:hAnsi="仿宋" w:eastAsia="黑体"/>
          <w:color w:val="000000"/>
          <w:sz w:val="32"/>
          <w:szCs w:val="32"/>
          <w:lang w:eastAsia="zh-CN"/>
        </w:rPr>
      </w:pPr>
    </w:p>
    <w:p>
      <w:pPr>
        <w:spacing w:line="62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一、制定背景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为促进思明区旅游、会议、住宿和文体娱乐业产业升级发展，按照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对加快文化和旅游产业升级发展的相关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要求，根据厦门市产业发展总体工作部署，并结合思明区实际，制定本意见。</w:t>
      </w:r>
    </w:p>
    <w:p>
      <w:pPr>
        <w:widowControl/>
        <w:shd w:val="clear" w:color="auto" w:fill="FFFFFF"/>
        <w:spacing w:line="620" w:lineRule="exact"/>
        <w:ind w:firstLine="64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》制定过程中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充分走访调研了厦门建发国际旅行社、厦门厦旅国际旅行社、侠旅网等文旅重点企业，并与文旅行业从业人员进行深入探讨；多方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征求了</w:t>
      </w:r>
      <w:r>
        <w:rPr>
          <w:rFonts w:hint="eastAsia" w:ascii="仿宋_GB2312" w:hAnsi="仿宋_GB2312" w:eastAsia="仿宋_GB2312" w:cs="仿宋_GB2312"/>
          <w:sz w:val="32"/>
          <w:szCs w:val="32"/>
        </w:rPr>
        <w:t>各街道、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审计、司法、财政等相关部门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的意见，并参考了《厦门市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关于进一步促进会议展览业发展的扶持意见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》部分内容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，充分吸收意见和建议，形成本稿。</w:t>
      </w:r>
    </w:p>
    <w:p>
      <w:pPr>
        <w:numPr>
          <w:numId w:val="0"/>
        </w:numPr>
        <w:spacing w:line="62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 xml:space="preserve"> 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扶持对象</w:t>
      </w:r>
    </w:p>
    <w:p>
      <w:pPr>
        <w:widowControl/>
        <w:numPr>
          <w:numId w:val="0"/>
        </w:numPr>
        <w:shd w:val="clear" w:color="auto" w:fill="FFFFFF"/>
        <w:spacing w:line="6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1、思明区范围内举办并入住思明区纳税且纳统酒店的各类会议，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在思明区举办的国际性会议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招揽引进举办会议项目的思明区企业或机构。</w:t>
      </w:r>
    </w:p>
    <w:p>
      <w:pPr>
        <w:widowControl/>
        <w:numPr>
          <w:numId w:val="0"/>
        </w:numPr>
        <w:shd w:val="clear" w:color="auto" w:fill="FFFFFF"/>
        <w:spacing w:line="6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2、在思明区纳税且纳统的规模以上旅行社和文体娱乐业、限额以上住宿业企业。</w:t>
      </w:r>
    </w:p>
    <w:p>
      <w:pPr>
        <w:numPr>
          <w:numId w:val="0"/>
        </w:numPr>
        <w:spacing w:line="62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三、扶持措施</w:t>
      </w:r>
    </w:p>
    <w:p>
      <w:pPr>
        <w:snapToGrid w:val="0"/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32"/>
          <w:szCs w:val="32"/>
          <w:lang w:val="en-US" w:eastAsia="zh-CN"/>
        </w:rPr>
        <w:t>（一）会议发展奖励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对在思明区范围内举办并入住思明区纳税且纳统酒店的各类会议，按照参会人数和住宿类别给予相应奖励。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1、境内会议奖励。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对参会人数达100人（含）以上的各类境内会议，住宿四星级饭店（或相当于该档次）达200-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999间夜数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，给予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2万元至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50万元奖励；住宿四星级饭店（或相当于该档次）达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000间以上，给予80万元奖励(奖励金额最高不超过80万元)。间夜数以四星级饭店（或相当于该档次）为基准，五星级饭店（或相当于该档次）按1.2的系数折算，其他饭店按0.8系数折算。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2、国际（境外）会议奖励。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对于在思明区举办的国际性会议，参会人员来自3个及以上境外国家或地区（含港澳台）的国际（境外）会议，境外参会人数达到 20-1999人的，给予3万元至50万元奖励；境外参会人数达到 2000人以上的，给予100万元奖励（最高奖励不超过100万元）。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3、订货会场租补贴。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会议奖励的基础上，对于企业在思明区举办大型订货会及布展规模达到4000平方米以上的，给予实际场地租金60%的补贴，每平方米租金补贴不超过9元，每场订货会场地补贴不超过8天，每场最高补贴金额不超过100万元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（二）会议招揽奖励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对全年招揽引进10个（含）以上会议项目（含企业自办会议）的思明区企业或机构给予全年奖励总额20%的超额奖励。 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（三）产业稳定增长奖励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1、新增纳统奖励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（1）在我区新纳统且年营收5000万（含）以上的规上重点旅行和文体娱乐业，一次性给予20万奖励。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（2）在我区新纳统且年营收2000万（含）以上的限上重点住宿业，一次性给予20万奖励。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2、规上旅行社和文化娱乐业营收增量奖励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　  （1）对当年（核算月份1-11月份）营收达5000万元以上的重点旅行和文体娱乐业，当年营收增量部分按每增加1000万元给予1万元奖励，奖励金额最高不超过30万元。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　  （2）对当年（核算月份1-11月份）营收5亿元（含）以上的重点旅行和文体娱乐业，当年营收增量部分按每增加1000万元给予2万元奖励，奖励金额最高不超过50万元。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　  （3）对当年（核算月份1-11月份）营收10亿元（含以上）的重点旅行和文体娱乐业，当年营收增量部分按每增加1000万元给予5万元奖励，奖励金额最高不超过100万元。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（4） 对当年（核算月份1-11月份）营收20亿元（含）以上的重点旅行和文体娱乐业，当年营收增量部分按每增加1000万元给予10万元奖励，奖励金额最高不超过200万元。 </w:t>
      </w:r>
    </w:p>
    <w:p>
      <w:pPr>
        <w:numPr>
          <w:numId w:val="0"/>
        </w:numPr>
        <w:spacing w:line="62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3、限上重点住宿业营收增量奖励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对当年（核算1-12月份）营收达2000万元（含）以上的重点限上住宿业企业，当年营收增量部分按每增加200万元给予1万元奖励，奖励金额最高不超过30万元。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对当年（核算1-12月份）营收8000万元以上（含）的重点限上住宿业企业，当年营收增量部分按每增加200万元给予2万元奖励，奖励金额最高不超过60万元。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对当年（核算1-12月份）营收2亿元以上（含）的重点住宿业企业，当年营收增量部分按每增加200万元给予3万元奖励，奖励金额最高不超过100万元。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对当年（核算1-12月份）营收5亿元以上（含）的重点住宿业企业，当年营收增量部分按每增加200万元给予4万元奖励，奖励金额最高不超过200万元。</w:t>
      </w:r>
    </w:p>
    <w:p>
      <w:pPr>
        <w:numPr>
          <w:numId w:val="0"/>
        </w:numPr>
        <w:spacing w:line="620" w:lineRule="exact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四、申报流程</w:t>
      </w:r>
    </w:p>
    <w:p>
      <w:pPr>
        <w:numPr>
          <w:ilvl w:val="0"/>
          <w:numId w:val="1"/>
        </w:numPr>
        <w:wordWrap/>
        <w:adjustRightInd/>
        <w:snapToGrid/>
        <w:spacing w:beforeLines="0" w:afterLines="0" w:line="58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会议奖补申报流程</w:t>
      </w:r>
    </w:p>
    <w:p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①申报流程：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申请人填写申报材料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→向市会展协会申报→市会展协会、区文化和旅游局共同组织现场核查→区文化和旅游局审核→区财政局审批→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呈区政府审批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→组织公示→申请人出具收款票据→核发奖励金。</w:t>
      </w:r>
    </w:p>
    <w:p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②申报时间：会议开始前的5-10个工作日。全年收件，分季度兑现。</w:t>
      </w:r>
    </w:p>
    <w:p>
      <w:pPr>
        <w:numPr>
          <w:ilvl w:val="0"/>
          <w:numId w:val="1"/>
        </w:numPr>
        <w:wordWrap/>
        <w:adjustRightInd/>
        <w:snapToGrid/>
        <w:spacing w:beforeLines="0" w:afterLines="0" w:line="58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营收增量奖励申报流程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①申报流程：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申请人填写申报材料→经所属街道审核→思明区文化旅游协会统一收件上报→区文化和旅游局复审→区财政局审批→呈区政府审批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→组织公示</w:t>
      </w:r>
      <w:r>
        <w:rPr>
          <w:rFonts w:hint="eastAsia" w:ascii="仿宋_GB2312" w:hAnsi="仿宋_GB2312" w:eastAsia="仿宋_GB2312" w:cs="仿宋_GB2312"/>
          <w:i w:val="0"/>
          <w:color w:val="000000"/>
          <w:sz w:val="32"/>
          <w:szCs w:val="32"/>
          <w:lang w:val="en-US" w:eastAsia="zh-CN"/>
        </w:rPr>
        <w:t>→申请人出具收款票据→核发奖励金。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②申报时间：次年第一季度内申报。  </w:t>
      </w:r>
    </w:p>
    <w:p>
      <w:pPr>
        <w:numPr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（三）申请提供材料内容</w:t>
      </w:r>
    </w:p>
    <w:p>
      <w:pPr>
        <w:numPr>
          <w:numId w:val="0"/>
        </w:num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　　1.会议奖补申报所需提交的材料</w:t>
      </w:r>
    </w:p>
    <w:p>
      <w:pPr>
        <w:numPr>
          <w:ilvl w:val="0"/>
          <w:numId w:val="2"/>
        </w:numPr>
        <w:spacing w:line="560" w:lineRule="exact"/>
        <w:ind w:left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会议开始5个工作日前入住酒店需报送的材料（各二份）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①申请奖补的报告（内容包括：会议名称、举办时间、地点、会议的基本内容、申请政府奖励的档次）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②会议专项资金奖励申请表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③会议日程安排表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④会议场租、酒店住宿合同复印件</w:t>
      </w:r>
    </w:p>
    <w:p>
      <w:pPr>
        <w:numPr>
          <w:ilvl w:val="0"/>
          <w:numId w:val="2"/>
        </w:numPr>
        <w:spacing w:line="560" w:lineRule="exact"/>
        <w:ind w:left="440" w:leftChars="20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会后15个工作日内，必须报送的材料（各二份）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①总结报告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②会议场租发票复印件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③酒店出具的住宿证明材料及人员名单（国际境外会议，需附护照复印件和签证页复印件）</w:t>
      </w:r>
    </w:p>
    <w:p>
      <w:pPr>
        <w:numPr>
          <w:numId w:val="0"/>
        </w:num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④会议现场照片三张（主席台和会议前后全景各1张）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2.营收增量奖励申报所需提交的材料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①思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明区企业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营收奖励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申请表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②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企业营业执照复印件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③新增纳统企业当年营收统计报表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④规上旅行社业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1-11月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营收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统计报表</w:t>
      </w:r>
    </w:p>
    <w:p>
      <w:pPr>
        <w:numPr>
          <w:numId w:val="0"/>
        </w:numPr>
        <w:spacing w:line="560" w:lineRule="exact"/>
        <w:ind w:firstLine="643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⑤限上住宿业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1-12月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营收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统计报表</w:t>
      </w:r>
    </w:p>
    <w:p>
      <w:pPr>
        <w:numPr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、有关说明</w:t>
      </w:r>
    </w:p>
    <w:p>
      <w:pPr>
        <w:numPr>
          <w:numId w:val="0"/>
        </w:numPr>
        <w:wordWrap/>
        <w:adjustRightInd/>
        <w:snapToGrid/>
        <w:spacing w:beforeLines="0" w:afterLines="0" w:line="580" w:lineRule="exact"/>
        <w:ind w:left="0" w:leftChars="0" w:right="0" w:firstLine="65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（一）已享受思明区其他扶持政策的会议项目，不可同时享受本意见扶持政策奖励；</w:t>
      </w:r>
    </w:p>
    <w:p>
      <w:pPr>
        <w:numPr>
          <w:numId w:val="0"/>
        </w:numPr>
        <w:wordWrap/>
        <w:adjustRightInd/>
        <w:snapToGrid/>
        <w:spacing w:beforeLines="0" w:afterLines="0" w:line="580" w:lineRule="exact"/>
        <w:ind w:left="0" w:leftChars="0" w:right="0" w:firstLine="654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（二）本意见会议奖励可与省市出台的其他会议业扶持政策同时享受；</w:t>
      </w:r>
    </w:p>
    <w:p>
      <w:pPr>
        <w:wordWrap/>
        <w:adjustRightInd/>
        <w:snapToGrid/>
        <w:spacing w:beforeLines="0" w:afterLines="0" w:line="58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本意见会议奖励，由主办、承办、执行单位或入住酒店提出申请，且只能由一方提出申请；</w:t>
      </w:r>
    </w:p>
    <w:p>
      <w:pPr>
        <w:wordWrap/>
        <w:adjustRightInd/>
        <w:snapToGrid/>
        <w:spacing w:beforeLines="0" w:afterLines="0" w:line="58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（四）涉及本意见第四条的扶持政策，与市、区出台的其他政策同类的，企业可择优但不重复享受，扶持政策另有规定的除外；</w:t>
      </w:r>
    </w:p>
    <w:p>
      <w:pPr>
        <w:wordWrap/>
        <w:adjustRightInd/>
        <w:snapToGrid/>
        <w:spacing w:beforeLines="0" w:afterLines="0" w:line="58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本意见第四条第（一）款与第（二）（三）款可叠加享受。</w:t>
      </w:r>
    </w:p>
    <w:p>
      <w:pPr>
        <w:wordWrap/>
        <w:adjustRightInd/>
        <w:snapToGrid/>
        <w:spacing w:beforeLines="0" w:afterLines="0" w:line="58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2020年1月1日起符合本意见第四条的企业可参照本意见执行。</w:t>
      </w:r>
    </w:p>
    <w:p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2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厦门市思明区文化和旅游局</w:t>
      </w:r>
    </w:p>
    <w:p>
      <w:pPr>
        <w:spacing w:line="62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2020年12月9日</w:t>
      </w:r>
    </w:p>
    <w:p>
      <w:pPr>
        <w:spacing w:line="620" w:lineRule="exact"/>
        <w:jc w:val="righ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spacing w:line="620" w:lineRule="exact"/>
        <w:ind w:firstLine="640"/>
        <w:rPr>
          <w:rFonts w:hint="eastAsia" w:asci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    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 xml:space="preserve">   </w:t>
      </w:r>
    </w:p>
    <w:p>
      <w:pPr>
        <w:spacing w:line="620" w:lineRule="exact"/>
        <w:ind w:firstLine="640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snapToGrid w:val="0"/>
          <w:color w:val="000000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56075690">
    <w:nsid w:val="F1C2CDAA"/>
    <w:multiLevelType w:val="singleLevel"/>
    <w:tmpl w:val="F1C2CDAA"/>
    <w:lvl w:ilvl="0" w:tentative="1">
      <w:start w:val="1"/>
      <w:numFmt w:val="decimal"/>
      <w:suff w:val="nothing"/>
      <w:lvlText w:val="（%1）"/>
      <w:lvlJc w:val="left"/>
    </w:lvl>
  </w:abstractNum>
  <w:abstractNum w:abstractNumId="1603784066">
    <w:nsid w:val="5F97CD82"/>
    <w:multiLevelType w:val="singleLevel"/>
    <w:tmpl w:val="5F97CD82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603784066"/>
  </w:num>
  <w:num w:numId="2">
    <w:abstractNumId w:val="4056075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5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97A4E1C"/>
    <w:rsid w:val="139961B2"/>
    <w:rsid w:val="1A2F6684"/>
    <w:rsid w:val="1E782E0B"/>
    <w:rsid w:val="341328FA"/>
    <w:rsid w:val="3C240A39"/>
    <w:rsid w:val="3DB639DF"/>
    <w:rsid w:val="41B26AD6"/>
    <w:rsid w:val="438E24C0"/>
    <w:rsid w:val="52C36155"/>
    <w:rsid w:val="65F22650"/>
    <w:rsid w:val="6A0A1520"/>
    <w:rsid w:val="6CA14323"/>
    <w:rsid w:val="7835762C"/>
    <w:rsid w:val="78446413"/>
    <w:rsid w:val="794E220F"/>
    <w:rsid w:val="7E7B62E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3">
    <w:name w:val="Normal Table"/>
    <w:unhideWhenUsed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Plain Text"/>
    <w:basedOn w:val="1"/>
    <w:qFormat/>
    <w:uiPriority w:val="0"/>
    <w:rPr>
      <w:rFonts w:ascii="宋体" w:hAnsi="Times New Roman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jc w:val="left"/>
    </w:pPr>
    <w:rPr>
      <w:rFonts w:ascii="宋体" w:hAnsi="Times New Roman" w:cs="宋体"/>
      <w:kern w:val="0"/>
      <w:sz w:val="24"/>
      <w:szCs w:val="24"/>
    </w:rPr>
  </w:style>
  <w:style w:type="character" w:styleId="12">
    <w:name w:val="page number"/>
    <w:basedOn w:val="11"/>
    <w:qFormat/>
    <w:uiPriority w:val="0"/>
    <w:rPr/>
  </w:style>
  <w:style w:type="paragraph" w:customStyle="1" w:styleId="14">
    <w:name w:val="List Paragraph_60da66e1-433d-4655-ba4f-3a18d661f9a5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5">
    <w:name w:val="Footer Char_e2989052-6b4c-474a-bc86-6403f9990be8"/>
    <w:qFormat/>
    <w:uiPriority w:val="0"/>
    <w:rPr>
      <w:rFonts w:cs="Times New Roman"/>
      <w:sz w:val="18"/>
      <w:szCs w:val="18"/>
    </w:rPr>
  </w:style>
  <w:style w:type="character" w:customStyle="1" w:styleId="16">
    <w:name w:val="页眉 Char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Header Char_467bc3e0-4b2d-4441-b009-79d1b59f7503"/>
    <w:qFormat/>
    <w:uiPriority w:val="0"/>
    <w:rPr>
      <w:rFonts w:cs="Times New Roman"/>
      <w:sz w:val="18"/>
      <w:szCs w:val="18"/>
    </w:rPr>
  </w:style>
  <w:style w:type="character" w:customStyle="1" w:styleId="18">
    <w:name w:val="批注框文本 Char"/>
    <w:link w:val="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脚 Char"/>
    <w:link w:val="8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1751</Words>
  <Characters>1779</Characters>
  <Lines>0</Lines>
  <Paragraphs>45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2020-04-05T06:16:00Z</dcterms:created>
  <dc:creator>微软用户</dc:creator>
  <cp:lastModifiedBy>吴剑锋</cp:lastModifiedBy>
  <cp:lastPrinted>2020-04-23T04:16:00Z</cp:lastPrinted>
  <dcterms:modified xsi:type="dcterms:W3CDTF">2020-12-09T01:59:24Z</dcterms:modified>
  <dc:title>编号：厦政旅呈〔2015〕26号 签发人：孔曙光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